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C148914"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9B4C5F" w:rsidRPr="009B4C5F">
        <w:rPr>
          <w:bCs/>
          <w:noProof w:val="0"/>
          <w:sz w:val="24"/>
          <w:szCs w:val="24"/>
        </w:rPr>
        <w:t>R2-1803435</w:t>
      </w:r>
    </w:p>
    <w:p w14:paraId="231362B2" w14:textId="1A50A564"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55C156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E5CC5">
        <w:rPr>
          <w:rFonts w:cs="Arial"/>
          <w:b/>
          <w:bCs/>
          <w:sz w:val="24"/>
        </w:rPr>
        <w:t>10.4.1.4.6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364B05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E5CC5">
        <w:rPr>
          <w:rFonts w:ascii="Arial" w:hAnsi="Arial" w:cs="Arial"/>
          <w:b/>
          <w:bCs/>
          <w:sz w:val="24"/>
        </w:rPr>
        <w:t>F1AP impacts on RRC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D7829EF" w:rsidR="00CD4C7B" w:rsidRPr="006E13D1" w:rsidRDefault="00BE5CC5" w:rsidP="00CD4C7B">
      <w:r>
        <w:t>RAN3 has decided to attempt to reuse RRC inter-node messages defined for EN-DC also for CU-DU split, i.e. for sending configuration over F1AP. While this seems possible, we consider how this could impact the usability of RRC in this contribution.</w:t>
      </w:r>
    </w:p>
    <w:p w14:paraId="127ACA6D" w14:textId="75AF101B" w:rsidR="00CD4C7B" w:rsidRPr="006E13D1" w:rsidRDefault="00CD4C7B" w:rsidP="00CD4C7B">
      <w:pPr>
        <w:pStyle w:val="Heading1"/>
      </w:pPr>
      <w:r w:rsidRPr="006E13D1">
        <w:t>2</w:t>
      </w:r>
      <w:r w:rsidRPr="006E13D1">
        <w:tab/>
      </w:r>
      <w:r w:rsidR="00BE5CC5">
        <w:t>CU-DU split</w:t>
      </w:r>
      <w:r w:rsidRPr="006E13D1">
        <w:t xml:space="preserve"> </w:t>
      </w:r>
    </w:p>
    <w:p w14:paraId="48EFF028" w14:textId="3A34E1F3" w:rsidR="00BE5CC5" w:rsidRDefault="007D7E07" w:rsidP="00CD4C7B">
      <w:r>
        <w:t xml:space="preserve">The CU-DU split architecture is defined in </w:t>
      </w:r>
      <w:hyperlink r:id="rId11" w:history="1">
        <w:r w:rsidR="007834E1" w:rsidRPr="007834E1">
          <w:rPr>
            <w:rStyle w:val="Hyperlink"/>
          </w:rPr>
          <w:t>TS</w:t>
        </w:r>
        <w:r w:rsidRPr="007834E1">
          <w:rPr>
            <w:rStyle w:val="Hyperlink"/>
          </w:rPr>
          <w:t>38.401</w:t>
        </w:r>
      </w:hyperlink>
      <w:r>
        <w:t xml:space="preserve">, with the F1AP specification described in </w:t>
      </w:r>
      <w:hyperlink r:id="rId12" w:history="1">
        <w:r w:rsidR="007834E1" w:rsidRPr="007834E1">
          <w:rPr>
            <w:rStyle w:val="Hyperlink"/>
          </w:rPr>
          <w:t>TS</w:t>
        </w:r>
        <w:r w:rsidRPr="007834E1">
          <w:rPr>
            <w:rStyle w:val="Hyperlink"/>
          </w:rPr>
          <w:t>38.473</w:t>
        </w:r>
      </w:hyperlink>
      <w:r>
        <w:t>.</w:t>
      </w:r>
      <w:r w:rsidR="00ED3712">
        <w:t xml:space="preserve"> Currently, RAN3 has assumed that t</w:t>
      </w:r>
      <w:r>
        <w:t xml:space="preserve">he IEs exchanged for setting up CU and DU RRC configurations are </w:t>
      </w:r>
      <w:r w:rsidR="00ED3712">
        <w:t xml:space="preserve">reusing the </w:t>
      </w:r>
      <w:r w:rsidR="00ED3712" w:rsidRPr="00ED3712">
        <w:rPr>
          <w:i/>
        </w:rPr>
        <w:t>CG-ConfigInfo</w:t>
      </w:r>
      <w:r w:rsidR="00ED3712">
        <w:t xml:space="preserve"> and </w:t>
      </w:r>
      <w:r w:rsidR="00ED3712" w:rsidRPr="00ED3712">
        <w:rPr>
          <w:i/>
        </w:rPr>
        <w:t>CellGroupConfig</w:t>
      </w:r>
      <w:r w:rsidR="00ED3712">
        <w:t xml:space="preserve">, </w:t>
      </w:r>
      <w:r>
        <w:t xml:space="preserve">as shown </w:t>
      </w:r>
      <w:r w:rsidR="00ED3712">
        <w:t xml:space="preserve">in </w:t>
      </w:r>
      <w:r>
        <w:t>below</w:t>
      </w:r>
      <w:r w:rsidR="00ED3712">
        <w:t xml:space="preserve"> excerpt from </w:t>
      </w:r>
      <w:hyperlink r:id="rId13" w:history="1">
        <w:r w:rsidR="007834E1" w:rsidRPr="007834E1">
          <w:rPr>
            <w:rStyle w:val="Hyperlink"/>
          </w:rPr>
          <w:t>TS</w:t>
        </w:r>
        <w:r w:rsidR="00ED3712" w:rsidRPr="007834E1">
          <w:rPr>
            <w:rStyle w:val="Hyperlink"/>
          </w:rPr>
          <w:t>38.473</w:t>
        </w:r>
      </w:hyperlink>
      <w:r>
        <w:t>:</w:t>
      </w:r>
    </w:p>
    <w:p w14:paraId="7EFED060" w14:textId="77777777" w:rsidR="00BE5CC5" w:rsidRPr="00BE5CC5" w:rsidRDefault="00BE5CC5" w:rsidP="00BE5CC5">
      <w:pPr>
        <w:pStyle w:val="Heading4"/>
        <w:ind w:left="1702"/>
        <w:rPr>
          <w:i/>
          <w:lang w:eastAsia="zh-CN"/>
        </w:rPr>
      </w:pPr>
      <w:bookmarkStart w:id="0" w:name="_Toc502835601"/>
      <w:bookmarkStart w:id="1" w:name="_Toc502837282"/>
      <w:r w:rsidRPr="00BE5CC5">
        <w:rPr>
          <w:i/>
          <w:lang w:eastAsia="zh-CN"/>
        </w:rPr>
        <w:t>9.3.1.25</w:t>
      </w:r>
      <w:r w:rsidRPr="00BE5CC5">
        <w:rPr>
          <w:i/>
          <w:lang w:eastAsia="zh-CN"/>
        </w:rPr>
        <w:tab/>
        <w:t>CU to DU RRC Information</w:t>
      </w:r>
      <w:bookmarkEnd w:id="0"/>
      <w:bookmarkEnd w:id="1"/>
    </w:p>
    <w:p w14:paraId="108CE66B" w14:textId="77777777" w:rsidR="00BE5CC5" w:rsidRPr="00BE5CC5" w:rsidRDefault="00BE5CC5" w:rsidP="00BE5CC5">
      <w:pPr>
        <w:ind w:left="284"/>
        <w:rPr>
          <w:i/>
          <w:lang w:eastAsia="zh-CN"/>
        </w:rPr>
      </w:pPr>
      <w:r w:rsidRPr="00BE5CC5">
        <w:rPr>
          <w:i/>
          <w:lang w:eastAsia="zh-CN"/>
        </w:rPr>
        <w:t>This IE contains the RRC Information that are sent from gNB-CU to gNB-DU.</w:t>
      </w:r>
    </w:p>
    <w:tbl>
      <w:tblPr>
        <w:tblW w:w="9183"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BE5CC5" w:rsidRPr="00BE5CC5" w14:paraId="5894B0E8" w14:textId="77777777" w:rsidTr="00BE5CC5">
        <w:tc>
          <w:tcPr>
            <w:tcW w:w="2379" w:type="dxa"/>
          </w:tcPr>
          <w:p w14:paraId="08704DF2" w14:textId="77777777" w:rsidR="00BE5CC5" w:rsidRPr="00BE5CC5" w:rsidRDefault="00BE5CC5" w:rsidP="00216782">
            <w:pPr>
              <w:keepNext/>
              <w:keepLines/>
              <w:spacing w:after="0"/>
              <w:jc w:val="center"/>
              <w:rPr>
                <w:rFonts w:ascii="Arial" w:hAnsi="Arial" w:cs="Arial"/>
                <w:b/>
                <w:bCs/>
                <w:i/>
                <w:sz w:val="18"/>
                <w:szCs w:val="18"/>
                <w:lang w:eastAsia="ja-JP"/>
              </w:rPr>
            </w:pPr>
            <w:r w:rsidRPr="00BE5CC5">
              <w:rPr>
                <w:rFonts w:ascii="Arial" w:hAnsi="Arial" w:cs="Arial"/>
                <w:b/>
                <w:bCs/>
                <w:i/>
                <w:sz w:val="18"/>
                <w:szCs w:val="18"/>
                <w:lang w:eastAsia="ja-JP"/>
              </w:rPr>
              <w:t>IE/Group Name</w:t>
            </w:r>
          </w:p>
        </w:tc>
        <w:tc>
          <w:tcPr>
            <w:tcW w:w="1134" w:type="dxa"/>
          </w:tcPr>
          <w:p w14:paraId="576B03CC" w14:textId="77777777" w:rsidR="00BE5CC5" w:rsidRPr="00BE5CC5" w:rsidRDefault="00BE5CC5" w:rsidP="00216782">
            <w:pPr>
              <w:keepNext/>
              <w:keepLines/>
              <w:spacing w:after="0"/>
              <w:jc w:val="center"/>
              <w:rPr>
                <w:rFonts w:ascii="Arial" w:hAnsi="Arial" w:cs="Arial"/>
                <w:b/>
                <w:bCs/>
                <w:i/>
                <w:sz w:val="18"/>
                <w:szCs w:val="18"/>
                <w:lang w:eastAsia="ja-JP"/>
              </w:rPr>
            </w:pPr>
            <w:r w:rsidRPr="00BE5CC5">
              <w:rPr>
                <w:rFonts w:ascii="Arial" w:hAnsi="Arial" w:cs="Arial"/>
                <w:b/>
                <w:bCs/>
                <w:i/>
                <w:sz w:val="18"/>
                <w:szCs w:val="18"/>
                <w:lang w:eastAsia="ja-JP"/>
              </w:rPr>
              <w:t>Presence</w:t>
            </w:r>
          </w:p>
        </w:tc>
        <w:tc>
          <w:tcPr>
            <w:tcW w:w="1276" w:type="dxa"/>
          </w:tcPr>
          <w:p w14:paraId="3F7D7C81" w14:textId="77777777" w:rsidR="00BE5CC5" w:rsidRPr="00BE5CC5" w:rsidRDefault="00BE5CC5" w:rsidP="00216782">
            <w:pPr>
              <w:keepNext/>
              <w:keepLines/>
              <w:spacing w:after="0"/>
              <w:jc w:val="center"/>
              <w:rPr>
                <w:rFonts w:ascii="Arial" w:hAnsi="Arial" w:cs="Arial"/>
                <w:b/>
                <w:bCs/>
                <w:i/>
                <w:sz w:val="18"/>
                <w:szCs w:val="18"/>
                <w:lang w:eastAsia="ja-JP"/>
              </w:rPr>
            </w:pPr>
            <w:r w:rsidRPr="00BE5CC5">
              <w:rPr>
                <w:rFonts w:ascii="Arial" w:hAnsi="Arial" w:cs="Arial"/>
                <w:b/>
                <w:bCs/>
                <w:i/>
                <w:sz w:val="18"/>
                <w:szCs w:val="18"/>
                <w:lang w:eastAsia="ja-JP"/>
              </w:rPr>
              <w:t>Range</w:t>
            </w:r>
          </w:p>
        </w:tc>
        <w:tc>
          <w:tcPr>
            <w:tcW w:w="1418" w:type="dxa"/>
          </w:tcPr>
          <w:p w14:paraId="4C1E4112" w14:textId="77777777" w:rsidR="00BE5CC5" w:rsidRPr="00BE5CC5" w:rsidRDefault="00BE5CC5" w:rsidP="00216782">
            <w:pPr>
              <w:keepNext/>
              <w:keepLines/>
              <w:spacing w:after="0"/>
              <w:jc w:val="center"/>
              <w:rPr>
                <w:rFonts w:ascii="Arial" w:hAnsi="Arial" w:cs="Arial"/>
                <w:b/>
                <w:bCs/>
                <w:i/>
                <w:sz w:val="18"/>
                <w:szCs w:val="18"/>
                <w:lang w:eastAsia="ja-JP"/>
              </w:rPr>
            </w:pPr>
            <w:r w:rsidRPr="00BE5CC5">
              <w:rPr>
                <w:rFonts w:ascii="Arial" w:hAnsi="Arial" w:cs="Arial"/>
                <w:b/>
                <w:bCs/>
                <w:i/>
                <w:sz w:val="18"/>
                <w:szCs w:val="18"/>
                <w:lang w:eastAsia="ja-JP"/>
              </w:rPr>
              <w:t>IE type and reference</w:t>
            </w:r>
          </w:p>
        </w:tc>
        <w:tc>
          <w:tcPr>
            <w:tcW w:w="2976" w:type="dxa"/>
          </w:tcPr>
          <w:p w14:paraId="3FB33212" w14:textId="77777777" w:rsidR="00BE5CC5" w:rsidRPr="00BE5CC5" w:rsidRDefault="00BE5CC5" w:rsidP="00216782">
            <w:pPr>
              <w:keepNext/>
              <w:keepLines/>
              <w:spacing w:after="0"/>
              <w:jc w:val="center"/>
              <w:rPr>
                <w:rFonts w:ascii="Arial" w:hAnsi="Arial" w:cs="Arial"/>
                <w:b/>
                <w:bCs/>
                <w:i/>
                <w:sz w:val="18"/>
                <w:szCs w:val="18"/>
                <w:lang w:eastAsia="ja-JP"/>
              </w:rPr>
            </w:pPr>
            <w:r w:rsidRPr="00BE5CC5">
              <w:rPr>
                <w:rFonts w:ascii="Arial" w:hAnsi="Arial" w:cs="Arial"/>
                <w:b/>
                <w:bCs/>
                <w:i/>
                <w:sz w:val="18"/>
                <w:szCs w:val="18"/>
                <w:lang w:eastAsia="ja-JP"/>
              </w:rPr>
              <w:t>Semantics description</w:t>
            </w:r>
          </w:p>
        </w:tc>
      </w:tr>
      <w:tr w:rsidR="00BE5CC5" w:rsidRPr="00BE5CC5" w14:paraId="1A01DC85" w14:textId="77777777" w:rsidTr="00BE5CC5">
        <w:tc>
          <w:tcPr>
            <w:tcW w:w="2379" w:type="dxa"/>
          </w:tcPr>
          <w:p w14:paraId="5B53A259" w14:textId="77777777" w:rsidR="00BE5CC5" w:rsidRPr="00BE5CC5" w:rsidRDefault="00BE5CC5" w:rsidP="00216782">
            <w:pPr>
              <w:keepNext/>
              <w:keepLines/>
              <w:spacing w:after="0"/>
              <w:jc w:val="both"/>
              <w:rPr>
                <w:rFonts w:ascii="Arial" w:hAnsi="Arial" w:cs="Arial"/>
                <w:i/>
                <w:sz w:val="18"/>
                <w:szCs w:val="18"/>
                <w:lang w:eastAsia="ja-JP"/>
              </w:rPr>
            </w:pPr>
            <w:r w:rsidRPr="00BE5CC5">
              <w:rPr>
                <w:rFonts w:ascii="Arial" w:hAnsi="Arial"/>
                <w:i/>
                <w:lang w:eastAsia="zh-CN"/>
              </w:rPr>
              <w:t>SCG-Config-Info</w:t>
            </w:r>
          </w:p>
        </w:tc>
        <w:tc>
          <w:tcPr>
            <w:tcW w:w="1134" w:type="dxa"/>
          </w:tcPr>
          <w:p w14:paraId="32882A04" w14:textId="77777777" w:rsidR="00BE5CC5" w:rsidRPr="00BE5CC5" w:rsidRDefault="00BE5CC5" w:rsidP="00216782">
            <w:pPr>
              <w:keepNext/>
              <w:keepLines/>
              <w:spacing w:after="0"/>
              <w:rPr>
                <w:rFonts w:ascii="Arial" w:hAnsi="Arial" w:cs="Arial"/>
                <w:i/>
                <w:sz w:val="18"/>
                <w:szCs w:val="18"/>
                <w:lang w:eastAsia="ja-JP"/>
              </w:rPr>
            </w:pPr>
            <w:r w:rsidRPr="00BE5CC5">
              <w:rPr>
                <w:rFonts w:ascii="Arial" w:hAnsi="Arial"/>
                <w:i/>
                <w:lang w:eastAsia="zh-CN"/>
              </w:rPr>
              <w:t>O</w:t>
            </w:r>
          </w:p>
        </w:tc>
        <w:tc>
          <w:tcPr>
            <w:tcW w:w="1276" w:type="dxa"/>
          </w:tcPr>
          <w:p w14:paraId="2CC0B4B2" w14:textId="77777777" w:rsidR="00BE5CC5" w:rsidRPr="00BE5CC5" w:rsidRDefault="00BE5CC5" w:rsidP="00216782">
            <w:pPr>
              <w:keepNext/>
              <w:keepLines/>
              <w:spacing w:after="0"/>
              <w:jc w:val="both"/>
              <w:rPr>
                <w:rFonts w:ascii="Arial" w:hAnsi="Arial" w:cs="Arial"/>
                <w:i/>
                <w:sz w:val="18"/>
                <w:szCs w:val="18"/>
                <w:lang w:eastAsia="ja-JP"/>
              </w:rPr>
            </w:pPr>
          </w:p>
        </w:tc>
        <w:tc>
          <w:tcPr>
            <w:tcW w:w="1418" w:type="dxa"/>
          </w:tcPr>
          <w:p w14:paraId="77E0D0F3" w14:textId="77777777" w:rsidR="00BE5CC5" w:rsidRPr="00BE5CC5" w:rsidRDefault="00BE5CC5" w:rsidP="00216782">
            <w:pPr>
              <w:keepNext/>
              <w:keepLines/>
              <w:spacing w:after="0"/>
              <w:jc w:val="center"/>
              <w:rPr>
                <w:rFonts w:ascii="Arial" w:hAnsi="Arial" w:cs="Arial"/>
                <w:i/>
                <w:sz w:val="18"/>
                <w:szCs w:val="18"/>
                <w:lang w:eastAsia="ja-JP"/>
              </w:rPr>
            </w:pPr>
            <w:r w:rsidRPr="00BE5CC5">
              <w:rPr>
                <w:rFonts w:ascii="Arial" w:eastAsia="Yu Mincho" w:hAnsi="Arial" w:cs="Arial"/>
                <w:i/>
                <w:sz w:val="18"/>
                <w:szCs w:val="18"/>
                <w:lang w:eastAsia="ja-JP"/>
              </w:rPr>
              <w:t>OCTET STRING</w:t>
            </w:r>
          </w:p>
        </w:tc>
        <w:tc>
          <w:tcPr>
            <w:tcW w:w="2976" w:type="dxa"/>
          </w:tcPr>
          <w:p w14:paraId="06BCF4A4" w14:textId="77777777" w:rsidR="00BE5CC5" w:rsidRPr="00BE5CC5" w:rsidRDefault="00BE5CC5" w:rsidP="00216782">
            <w:pPr>
              <w:keepNext/>
              <w:keepLines/>
              <w:spacing w:after="0"/>
              <w:rPr>
                <w:rFonts w:ascii="Arial" w:eastAsia="Malgun Gothic" w:hAnsi="Arial"/>
                <w:i/>
                <w:sz w:val="18"/>
                <w:szCs w:val="18"/>
                <w:lang w:eastAsia="x-none"/>
              </w:rPr>
            </w:pPr>
            <w:r w:rsidRPr="00BE5CC5">
              <w:rPr>
                <w:rFonts w:ascii="Arial" w:eastAsia="Malgun Gothic" w:hAnsi="Arial"/>
                <w:i/>
                <w:sz w:val="18"/>
                <w:szCs w:val="18"/>
                <w:lang w:eastAsia="x-none"/>
              </w:rPr>
              <w:t>SCG-Config-Info, as defined in TS 38.331 [8].</w:t>
            </w:r>
          </w:p>
        </w:tc>
      </w:tr>
      <w:tr w:rsidR="00BE5CC5" w:rsidRPr="00BE5CC5" w14:paraId="458ABEA6" w14:textId="77777777" w:rsidTr="00BE5CC5">
        <w:tc>
          <w:tcPr>
            <w:tcW w:w="2379" w:type="dxa"/>
          </w:tcPr>
          <w:p w14:paraId="5475A2D9" w14:textId="77777777" w:rsidR="00BE5CC5" w:rsidRPr="00BE5CC5" w:rsidRDefault="00BE5CC5" w:rsidP="00216782">
            <w:pPr>
              <w:keepNext/>
              <w:keepLines/>
              <w:spacing w:after="0"/>
              <w:jc w:val="both"/>
              <w:rPr>
                <w:rFonts w:ascii="Arial" w:hAnsi="Arial" w:cs="Arial"/>
                <w:i/>
                <w:sz w:val="18"/>
                <w:szCs w:val="18"/>
                <w:lang w:eastAsia="ja-JP"/>
              </w:rPr>
            </w:pPr>
            <w:r w:rsidRPr="00BE5CC5">
              <w:rPr>
                <w:rFonts w:ascii="Arial" w:hAnsi="Arial"/>
                <w:i/>
                <w:lang w:eastAsia="zh-CN"/>
              </w:rPr>
              <w:t>UE Radio capabilities</w:t>
            </w:r>
          </w:p>
        </w:tc>
        <w:tc>
          <w:tcPr>
            <w:tcW w:w="1134" w:type="dxa"/>
          </w:tcPr>
          <w:p w14:paraId="3FF53214" w14:textId="77777777" w:rsidR="00BE5CC5" w:rsidRPr="00BE5CC5" w:rsidRDefault="00BE5CC5" w:rsidP="00216782">
            <w:pPr>
              <w:keepNext/>
              <w:keepLines/>
              <w:spacing w:after="0"/>
              <w:rPr>
                <w:rFonts w:ascii="Arial" w:hAnsi="Arial" w:cs="Arial"/>
                <w:i/>
                <w:sz w:val="18"/>
                <w:szCs w:val="18"/>
                <w:lang w:eastAsia="ja-JP"/>
              </w:rPr>
            </w:pPr>
            <w:r w:rsidRPr="00BE5CC5">
              <w:rPr>
                <w:rFonts w:ascii="Arial" w:hAnsi="Arial"/>
                <w:i/>
                <w:lang w:eastAsia="zh-CN"/>
              </w:rPr>
              <w:t>M</w:t>
            </w:r>
          </w:p>
        </w:tc>
        <w:tc>
          <w:tcPr>
            <w:tcW w:w="1276" w:type="dxa"/>
          </w:tcPr>
          <w:p w14:paraId="3C8EFB8A" w14:textId="77777777" w:rsidR="00BE5CC5" w:rsidRPr="00BE5CC5" w:rsidRDefault="00BE5CC5" w:rsidP="00216782">
            <w:pPr>
              <w:keepNext/>
              <w:keepLines/>
              <w:spacing w:after="0"/>
              <w:jc w:val="center"/>
              <w:rPr>
                <w:rFonts w:ascii="Arial" w:hAnsi="Arial" w:cs="Arial"/>
                <w:i/>
                <w:sz w:val="18"/>
                <w:szCs w:val="18"/>
                <w:lang w:eastAsia="ja-JP"/>
              </w:rPr>
            </w:pPr>
          </w:p>
        </w:tc>
        <w:tc>
          <w:tcPr>
            <w:tcW w:w="1418" w:type="dxa"/>
          </w:tcPr>
          <w:p w14:paraId="5454A18B" w14:textId="77777777" w:rsidR="00BE5CC5" w:rsidRPr="00BE5CC5" w:rsidRDefault="00BE5CC5" w:rsidP="00216782">
            <w:pPr>
              <w:keepNext/>
              <w:keepLines/>
              <w:spacing w:after="0"/>
              <w:jc w:val="center"/>
              <w:rPr>
                <w:rFonts w:ascii="Arial" w:hAnsi="Arial" w:cs="Arial"/>
                <w:i/>
                <w:sz w:val="18"/>
                <w:szCs w:val="18"/>
                <w:lang w:eastAsia="ja-JP"/>
              </w:rPr>
            </w:pPr>
            <w:r w:rsidRPr="00BE5CC5">
              <w:rPr>
                <w:rFonts w:ascii="Arial" w:eastAsia="Yu Mincho" w:hAnsi="Arial" w:cs="Arial"/>
                <w:i/>
                <w:sz w:val="18"/>
                <w:szCs w:val="18"/>
                <w:lang w:eastAsia="ja-JP"/>
              </w:rPr>
              <w:t>OCTET STRING</w:t>
            </w:r>
          </w:p>
        </w:tc>
        <w:tc>
          <w:tcPr>
            <w:tcW w:w="2976" w:type="dxa"/>
          </w:tcPr>
          <w:p w14:paraId="4DC6251E" w14:textId="77777777" w:rsidR="00BE5CC5" w:rsidRPr="00BE5CC5" w:rsidRDefault="00BE5CC5" w:rsidP="00216782">
            <w:pPr>
              <w:keepNext/>
              <w:keepLines/>
              <w:spacing w:after="0"/>
              <w:rPr>
                <w:rFonts w:ascii="Arial" w:eastAsia="Malgun Gothic" w:hAnsi="Arial"/>
                <w:i/>
                <w:sz w:val="18"/>
                <w:szCs w:val="18"/>
                <w:lang w:eastAsia="x-none"/>
              </w:rPr>
            </w:pPr>
            <w:r w:rsidRPr="00BE5CC5">
              <w:rPr>
                <w:rFonts w:ascii="Arial" w:eastAsia="Malgun Gothic" w:hAnsi="Arial"/>
                <w:i/>
                <w:sz w:val="18"/>
                <w:szCs w:val="18"/>
                <w:lang w:eastAsia="x-none"/>
              </w:rPr>
              <w:t>UE Radio Capabilities, as defined in TS 38.331 [8].</w:t>
            </w:r>
          </w:p>
        </w:tc>
      </w:tr>
    </w:tbl>
    <w:p w14:paraId="76C0BC78" w14:textId="77777777" w:rsidR="00BE5CC5" w:rsidRPr="00BE5CC5" w:rsidRDefault="00BE5CC5" w:rsidP="00BE5CC5">
      <w:pPr>
        <w:ind w:left="284"/>
        <w:rPr>
          <w:i/>
          <w:lang w:eastAsia="zh-CN"/>
        </w:rPr>
      </w:pPr>
    </w:p>
    <w:p w14:paraId="5B0B4373" w14:textId="77777777" w:rsidR="00BE5CC5" w:rsidRPr="00BE5CC5" w:rsidRDefault="00BE5CC5" w:rsidP="00BE5CC5">
      <w:pPr>
        <w:pStyle w:val="Heading4"/>
        <w:ind w:left="1702"/>
        <w:rPr>
          <w:i/>
          <w:lang w:eastAsia="zh-CN"/>
        </w:rPr>
      </w:pPr>
      <w:bookmarkStart w:id="2" w:name="_Toc502835602"/>
      <w:bookmarkStart w:id="3" w:name="_Toc502837283"/>
      <w:r w:rsidRPr="00BE5CC5">
        <w:rPr>
          <w:i/>
          <w:lang w:eastAsia="zh-CN"/>
        </w:rPr>
        <w:t>9.3.1.26</w:t>
      </w:r>
      <w:r w:rsidRPr="00BE5CC5">
        <w:rPr>
          <w:i/>
          <w:lang w:eastAsia="zh-CN"/>
        </w:rPr>
        <w:tab/>
        <w:t>DU to CU RRC Information</w:t>
      </w:r>
      <w:bookmarkEnd w:id="2"/>
      <w:bookmarkEnd w:id="3"/>
    </w:p>
    <w:p w14:paraId="5A27765B" w14:textId="77777777" w:rsidR="00BE5CC5" w:rsidRPr="00BE5CC5" w:rsidRDefault="00BE5CC5" w:rsidP="00BE5CC5">
      <w:pPr>
        <w:ind w:left="284"/>
        <w:rPr>
          <w:i/>
          <w:lang w:eastAsia="zh-CN"/>
        </w:rPr>
      </w:pPr>
      <w:r w:rsidRPr="00BE5CC5">
        <w:rPr>
          <w:i/>
          <w:lang w:eastAsia="zh-CN"/>
        </w:rPr>
        <w:t>This IE contains the RRC Information that are sent from the gNB-DU to the gNB-CU.</w:t>
      </w:r>
    </w:p>
    <w:tbl>
      <w:tblPr>
        <w:tblW w:w="9183"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BE5CC5" w:rsidRPr="00BE5CC5" w14:paraId="588CA341" w14:textId="77777777" w:rsidTr="00BE5CC5">
        <w:tc>
          <w:tcPr>
            <w:tcW w:w="2379" w:type="dxa"/>
          </w:tcPr>
          <w:p w14:paraId="36F46A42" w14:textId="77777777" w:rsidR="00BE5CC5" w:rsidRPr="00BE5CC5" w:rsidRDefault="00BE5CC5" w:rsidP="00216782">
            <w:pPr>
              <w:keepNext/>
              <w:keepLines/>
              <w:spacing w:after="0"/>
              <w:jc w:val="center"/>
              <w:rPr>
                <w:rFonts w:ascii="Arial" w:hAnsi="Arial" w:cs="Arial"/>
                <w:b/>
                <w:bCs/>
                <w:i/>
                <w:sz w:val="18"/>
                <w:szCs w:val="18"/>
                <w:lang w:eastAsia="ja-JP"/>
              </w:rPr>
            </w:pPr>
            <w:r w:rsidRPr="00BE5CC5">
              <w:rPr>
                <w:rFonts w:ascii="Arial" w:hAnsi="Arial" w:cs="Arial"/>
                <w:b/>
                <w:bCs/>
                <w:i/>
                <w:sz w:val="18"/>
                <w:szCs w:val="18"/>
                <w:lang w:eastAsia="ja-JP"/>
              </w:rPr>
              <w:t>IE/Group Name</w:t>
            </w:r>
          </w:p>
        </w:tc>
        <w:tc>
          <w:tcPr>
            <w:tcW w:w="1134" w:type="dxa"/>
          </w:tcPr>
          <w:p w14:paraId="599D40B7" w14:textId="77777777" w:rsidR="00BE5CC5" w:rsidRPr="00BE5CC5" w:rsidRDefault="00BE5CC5" w:rsidP="00216782">
            <w:pPr>
              <w:keepNext/>
              <w:keepLines/>
              <w:spacing w:after="0"/>
              <w:jc w:val="center"/>
              <w:rPr>
                <w:rFonts w:ascii="Arial" w:hAnsi="Arial" w:cs="Arial"/>
                <w:b/>
                <w:bCs/>
                <w:i/>
                <w:sz w:val="18"/>
                <w:szCs w:val="18"/>
                <w:lang w:eastAsia="ja-JP"/>
              </w:rPr>
            </w:pPr>
            <w:r w:rsidRPr="00BE5CC5">
              <w:rPr>
                <w:rFonts w:ascii="Arial" w:hAnsi="Arial" w:cs="Arial"/>
                <w:b/>
                <w:bCs/>
                <w:i/>
                <w:sz w:val="18"/>
                <w:szCs w:val="18"/>
                <w:lang w:eastAsia="ja-JP"/>
              </w:rPr>
              <w:t>Presence</w:t>
            </w:r>
          </w:p>
        </w:tc>
        <w:tc>
          <w:tcPr>
            <w:tcW w:w="1276" w:type="dxa"/>
          </w:tcPr>
          <w:p w14:paraId="00C8850D" w14:textId="77777777" w:rsidR="00BE5CC5" w:rsidRPr="00BE5CC5" w:rsidRDefault="00BE5CC5" w:rsidP="00216782">
            <w:pPr>
              <w:keepNext/>
              <w:keepLines/>
              <w:spacing w:after="0"/>
              <w:jc w:val="center"/>
              <w:rPr>
                <w:rFonts w:ascii="Arial" w:hAnsi="Arial" w:cs="Arial"/>
                <w:b/>
                <w:bCs/>
                <w:i/>
                <w:sz w:val="18"/>
                <w:szCs w:val="18"/>
                <w:lang w:eastAsia="ja-JP"/>
              </w:rPr>
            </w:pPr>
            <w:r w:rsidRPr="00BE5CC5">
              <w:rPr>
                <w:rFonts w:ascii="Arial" w:hAnsi="Arial" w:cs="Arial"/>
                <w:b/>
                <w:bCs/>
                <w:i/>
                <w:sz w:val="18"/>
                <w:szCs w:val="18"/>
                <w:lang w:eastAsia="ja-JP"/>
              </w:rPr>
              <w:t>Range</w:t>
            </w:r>
          </w:p>
        </w:tc>
        <w:tc>
          <w:tcPr>
            <w:tcW w:w="1418" w:type="dxa"/>
          </w:tcPr>
          <w:p w14:paraId="27A4EBA9" w14:textId="77777777" w:rsidR="00BE5CC5" w:rsidRPr="00BE5CC5" w:rsidRDefault="00BE5CC5" w:rsidP="00216782">
            <w:pPr>
              <w:keepNext/>
              <w:keepLines/>
              <w:spacing w:after="0"/>
              <w:jc w:val="center"/>
              <w:rPr>
                <w:rFonts w:ascii="Arial" w:hAnsi="Arial" w:cs="Arial"/>
                <w:b/>
                <w:bCs/>
                <w:i/>
                <w:sz w:val="18"/>
                <w:szCs w:val="18"/>
                <w:lang w:eastAsia="ja-JP"/>
              </w:rPr>
            </w:pPr>
            <w:r w:rsidRPr="00BE5CC5">
              <w:rPr>
                <w:rFonts w:ascii="Arial" w:hAnsi="Arial" w:cs="Arial"/>
                <w:b/>
                <w:bCs/>
                <w:i/>
                <w:sz w:val="18"/>
                <w:szCs w:val="18"/>
                <w:lang w:eastAsia="ja-JP"/>
              </w:rPr>
              <w:t>IE type and reference</w:t>
            </w:r>
          </w:p>
        </w:tc>
        <w:tc>
          <w:tcPr>
            <w:tcW w:w="2976" w:type="dxa"/>
          </w:tcPr>
          <w:p w14:paraId="7CF1851D" w14:textId="77777777" w:rsidR="00BE5CC5" w:rsidRPr="00BE5CC5" w:rsidRDefault="00BE5CC5" w:rsidP="00216782">
            <w:pPr>
              <w:keepNext/>
              <w:keepLines/>
              <w:spacing w:after="0"/>
              <w:jc w:val="center"/>
              <w:rPr>
                <w:rFonts w:ascii="Arial" w:hAnsi="Arial" w:cs="Arial"/>
                <w:b/>
                <w:bCs/>
                <w:i/>
                <w:sz w:val="18"/>
                <w:szCs w:val="18"/>
                <w:lang w:eastAsia="ja-JP"/>
              </w:rPr>
            </w:pPr>
            <w:r w:rsidRPr="00BE5CC5">
              <w:rPr>
                <w:rFonts w:ascii="Arial" w:hAnsi="Arial" w:cs="Arial"/>
                <w:b/>
                <w:bCs/>
                <w:i/>
                <w:sz w:val="18"/>
                <w:szCs w:val="18"/>
                <w:lang w:eastAsia="ja-JP"/>
              </w:rPr>
              <w:t>Semantics description</w:t>
            </w:r>
          </w:p>
        </w:tc>
      </w:tr>
      <w:tr w:rsidR="00BE5CC5" w:rsidRPr="00BE5CC5" w14:paraId="3CC0AE2B" w14:textId="77777777" w:rsidTr="00BE5CC5">
        <w:tc>
          <w:tcPr>
            <w:tcW w:w="2379" w:type="dxa"/>
          </w:tcPr>
          <w:p w14:paraId="265FE4A2" w14:textId="77777777" w:rsidR="00BE5CC5" w:rsidRPr="00BE5CC5" w:rsidRDefault="00BE5CC5" w:rsidP="00216782">
            <w:pPr>
              <w:keepNext/>
              <w:keepLines/>
              <w:spacing w:after="0"/>
              <w:jc w:val="both"/>
              <w:rPr>
                <w:rFonts w:ascii="Arial" w:hAnsi="Arial" w:cs="Arial"/>
                <w:i/>
                <w:sz w:val="18"/>
                <w:szCs w:val="18"/>
                <w:lang w:eastAsia="ja-JP"/>
              </w:rPr>
            </w:pPr>
            <w:r w:rsidRPr="00BE5CC5">
              <w:rPr>
                <w:rFonts w:ascii="Arial" w:hAnsi="Arial"/>
                <w:i/>
                <w:lang w:eastAsia="zh-CN"/>
              </w:rPr>
              <w:t>Cell Group Config</w:t>
            </w:r>
          </w:p>
        </w:tc>
        <w:tc>
          <w:tcPr>
            <w:tcW w:w="1134" w:type="dxa"/>
          </w:tcPr>
          <w:p w14:paraId="47D2E388" w14:textId="77777777" w:rsidR="00BE5CC5" w:rsidRPr="00BE5CC5" w:rsidRDefault="00BE5CC5" w:rsidP="00216782">
            <w:pPr>
              <w:keepNext/>
              <w:keepLines/>
              <w:tabs>
                <w:tab w:val="center" w:pos="459"/>
              </w:tabs>
              <w:spacing w:after="0"/>
              <w:jc w:val="both"/>
              <w:rPr>
                <w:rFonts w:ascii="Arial" w:hAnsi="Arial" w:cs="Arial"/>
                <w:i/>
                <w:sz w:val="18"/>
                <w:szCs w:val="18"/>
                <w:lang w:eastAsia="ja-JP"/>
              </w:rPr>
            </w:pPr>
            <w:r w:rsidRPr="00BE5CC5">
              <w:rPr>
                <w:rFonts w:ascii="Arial" w:hAnsi="Arial"/>
                <w:i/>
                <w:lang w:eastAsia="zh-CN"/>
              </w:rPr>
              <w:t>M</w:t>
            </w:r>
          </w:p>
        </w:tc>
        <w:tc>
          <w:tcPr>
            <w:tcW w:w="1276" w:type="dxa"/>
          </w:tcPr>
          <w:p w14:paraId="006FB998" w14:textId="77777777" w:rsidR="00BE5CC5" w:rsidRPr="00BE5CC5" w:rsidRDefault="00BE5CC5" w:rsidP="00216782">
            <w:pPr>
              <w:keepNext/>
              <w:keepLines/>
              <w:spacing w:after="0"/>
              <w:jc w:val="both"/>
              <w:rPr>
                <w:rFonts w:ascii="Arial" w:hAnsi="Arial" w:cs="Arial"/>
                <w:i/>
                <w:sz w:val="18"/>
                <w:szCs w:val="18"/>
                <w:lang w:eastAsia="ja-JP"/>
              </w:rPr>
            </w:pPr>
          </w:p>
        </w:tc>
        <w:tc>
          <w:tcPr>
            <w:tcW w:w="1418" w:type="dxa"/>
          </w:tcPr>
          <w:p w14:paraId="592F9FE2" w14:textId="77777777" w:rsidR="00BE5CC5" w:rsidRPr="00BE5CC5" w:rsidRDefault="00BE5CC5" w:rsidP="00216782">
            <w:pPr>
              <w:keepNext/>
              <w:keepLines/>
              <w:spacing w:after="0"/>
              <w:jc w:val="center"/>
              <w:rPr>
                <w:rFonts w:ascii="Arial" w:hAnsi="Arial" w:cs="Arial"/>
                <w:i/>
                <w:sz w:val="18"/>
                <w:szCs w:val="18"/>
                <w:lang w:eastAsia="ja-JP"/>
              </w:rPr>
            </w:pPr>
            <w:r w:rsidRPr="00BE5CC5">
              <w:rPr>
                <w:rFonts w:ascii="Arial" w:eastAsia="Yu Mincho" w:hAnsi="Arial" w:cs="Arial"/>
                <w:i/>
                <w:sz w:val="18"/>
                <w:szCs w:val="18"/>
                <w:lang w:eastAsia="ja-JP"/>
              </w:rPr>
              <w:t>OCTET STRING</w:t>
            </w:r>
          </w:p>
        </w:tc>
        <w:tc>
          <w:tcPr>
            <w:tcW w:w="2976" w:type="dxa"/>
          </w:tcPr>
          <w:p w14:paraId="13158CA1" w14:textId="77777777" w:rsidR="00BE5CC5" w:rsidRPr="00BE5CC5" w:rsidRDefault="00BE5CC5" w:rsidP="00216782">
            <w:pPr>
              <w:keepNext/>
              <w:keepLines/>
              <w:spacing w:after="0"/>
              <w:rPr>
                <w:rFonts w:ascii="Arial" w:eastAsia="Malgun Gothic" w:hAnsi="Arial"/>
                <w:i/>
                <w:sz w:val="18"/>
                <w:szCs w:val="18"/>
                <w:lang w:eastAsia="x-none"/>
              </w:rPr>
            </w:pPr>
            <w:r w:rsidRPr="00BE5CC5">
              <w:rPr>
                <w:rFonts w:ascii="Arial" w:eastAsia="Malgun Gothic" w:hAnsi="Arial"/>
                <w:i/>
                <w:sz w:val="18"/>
                <w:szCs w:val="18"/>
                <w:lang w:eastAsia="x-none"/>
              </w:rPr>
              <w:t>CellGroupConfig, as defined in TS 38.331 [8].</w:t>
            </w:r>
          </w:p>
        </w:tc>
      </w:tr>
    </w:tbl>
    <w:p w14:paraId="46E66B82" w14:textId="77777777" w:rsidR="00BE5CC5" w:rsidRPr="005F58F9" w:rsidRDefault="00BE5CC5" w:rsidP="00BE5CC5"/>
    <w:p w14:paraId="073B434D" w14:textId="663F371F" w:rsidR="00ED3712" w:rsidRDefault="00ED3712" w:rsidP="00ED3712">
      <w:pPr>
        <w:rPr>
          <w:lang w:val="en-US"/>
        </w:rPr>
      </w:pPr>
      <w:r>
        <w:t xml:space="preserve">However, this might be problematic in case the CU and DU support different releases: </w:t>
      </w:r>
      <w:r w:rsidRPr="00ED3712">
        <w:rPr>
          <w:i/>
          <w:lang w:val="en-US"/>
        </w:rPr>
        <w:t>CG-Config</w:t>
      </w:r>
      <w:r>
        <w:rPr>
          <w:lang w:val="en-US"/>
        </w:rPr>
        <w:t xml:space="preserve"> </w:t>
      </w:r>
      <w:r>
        <w:rPr>
          <w:lang w:val="en-US"/>
        </w:rPr>
        <w:t xml:space="preserve">was originally meant only X2 exchange of information, and </w:t>
      </w:r>
      <w:r w:rsidRPr="00ED3712">
        <w:rPr>
          <w:i/>
          <w:lang w:val="en-US"/>
        </w:rPr>
        <w:t>CellGroupConfig</w:t>
      </w:r>
      <w:r>
        <w:rPr>
          <w:lang w:val="en-US"/>
        </w:rPr>
        <w:t xml:space="preserve"> was only meant to be sent to UE. However, now both are used</w:t>
      </w:r>
      <w:r>
        <w:rPr>
          <w:lang w:val="en-US"/>
        </w:rPr>
        <w:t xml:space="preserve"> on the F1 and X2 interfaces to convey information that is owned/set by both CU and DU.</w:t>
      </w:r>
    </w:p>
    <w:p w14:paraId="61A34636" w14:textId="006CCD84" w:rsidR="00ED3712" w:rsidRDefault="00ED3712" w:rsidP="00ED3712">
      <w:pPr>
        <w:rPr>
          <w:lang w:val="en-US" w:eastAsia="fi-FI"/>
        </w:rPr>
      </w:pPr>
      <w:r w:rsidRPr="00ED3712">
        <w:rPr>
          <w:b/>
          <w:lang w:val="en-US"/>
        </w:rPr>
        <w:t>Observation 1:</w:t>
      </w:r>
      <w:r>
        <w:rPr>
          <w:lang w:val="en-US"/>
        </w:rPr>
        <w:t xml:space="preserve"> The F1AP interface uses both INM RRC messages and UE RRC IEs. </w:t>
      </w:r>
    </w:p>
    <w:p w14:paraId="786E80A2" w14:textId="35B93968" w:rsidR="00ED3712" w:rsidRDefault="00ED3712" w:rsidP="00ED3712">
      <w:pPr>
        <w:rPr>
          <w:lang w:val="en-US"/>
        </w:rPr>
      </w:pPr>
      <w:r>
        <w:rPr>
          <w:lang w:val="en-US"/>
        </w:rPr>
        <w:t>The idea</w:t>
      </w:r>
      <w:r>
        <w:rPr>
          <w:lang w:val="en-US"/>
        </w:rPr>
        <w:t xml:space="preserve"> behind this</w:t>
      </w:r>
      <w:r>
        <w:rPr>
          <w:lang w:val="en-US"/>
        </w:rPr>
        <w:t xml:space="preserve"> </w:t>
      </w:r>
      <w:r>
        <w:rPr>
          <w:lang w:val="en-US"/>
        </w:rPr>
        <w:t xml:space="preserve">was </w:t>
      </w:r>
      <w:r>
        <w:rPr>
          <w:lang w:val="en-US"/>
        </w:rPr>
        <w:t xml:space="preserve">that the DU </w:t>
      </w:r>
      <w:r>
        <w:rPr>
          <w:lang w:val="en-US"/>
        </w:rPr>
        <w:t>would encode</w:t>
      </w:r>
      <w:r>
        <w:rPr>
          <w:lang w:val="en-US"/>
        </w:rPr>
        <w:t xml:space="preserve"> its part </w:t>
      </w:r>
      <w:r>
        <w:rPr>
          <w:lang w:val="en-US"/>
        </w:rPr>
        <w:t xml:space="preserve">of the UE configuration inside </w:t>
      </w:r>
      <w:r>
        <w:rPr>
          <w:lang w:val="en-US"/>
        </w:rPr>
        <w:t xml:space="preserve">the </w:t>
      </w:r>
      <w:r w:rsidRPr="00ED3712">
        <w:rPr>
          <w:i/>
          <w:lang w:val="en-US"/>
        </w:rPr>
        <w:t>CG-Config</w:t>
      </w:r>
      <w:r>
        <w:rPr>
          <w:lang w:val="en-US"/>
        </w:rPr>
        <w:t xml:space="preserve"> and send that </w:t>
      </w:r>
      <w:r>
        <w:rPr>
          <w:lang w:val="en-US"/>
        </w:rPr>
        <w:t xml:space="preserve">to the CU, who </w:t>
      </w:r>
      <w:r>
        <w:rPr>
          <w:lang w:val="en-US"/>
        </w:rPr>
        <w:t xml:space="preserve">then decodes this </w:t>
      </w:r>
      <w:r>
        <w:rPr>
          <w:lang w:val="en-US"/>
        </w:rPr>
        <w:t xml:space="preserve">and </w:t>
      </w:r>
      <w:r>
        <w:rPr>
          <w:lang w:val="en-US"/>
        </w:rPr>
        <w:t xml:space="preserve">then </w:t>
      </w:r>
      <w:r>
        <w:rPr>
          <w:lang w:val="en-US"/>
        </w:rPr>
        <w:t>re-encode</w:t>
      </w:r>
      <w:r>
        <w:rPr>
          <w:lang w:val="en-US"/>
        </w:rPr>
        <w:t xml:space="preserve">s the resulting UE with the </w:t>
      </w:r>
      <w:r>
        <w:rPr>
          <w:lang w:val="en-US"/>
        </w:rPr>
        <w:t>CU-related parameters</w:t>
      </w:r>
      <w:r>
        <w:rPr>
          <w:lang w:val="en-US"/>
        </w:rPr>
        <w:t xml:space="preserve"> added</w:t>
      </w:r>
      <w:r>
        <w:rPr>
          <w:lang w:val="en-US"/>
        </w:rPr>
        <w:t>.</w:t>
      </w:r>
    </w:p>
    <w:p w14:paraId="2388B448" w14:textId="00EC837F" w:rsidR="00ED3712" w:rsidRDefault="00ED3712" w:rsidP="00ED3712">
      <w:pPr>
        <w:rPr>
          <w:lang w:val="en-US"/>
        </w:rPr>
      </w:pPr>
      <w:r>
        <w:rPr>
          <w:lang w:val="en-US"/>
        </w:rPr>
        <w:t xml:space="preserve">However, this may cause problems in case </w:t>
      </w:r>
      <w:r>
        <w:rPr>
          <w:lang w:val="en-US"/>
        </w:rPr>
        <w:t xml:space="preserve">the </w:t>
      </w:r>
      <w:r>
        <w:rPr>
          <w:lang w:val="en-US"/>
        </w:rPr>
        <w:t xml:space="preserve">CU and </w:t>
      </w:r>
      <w:r>
        <w:rPr>
          <w:lang w:val="en-US"/>
        </w:rPr>
        <w:t xml:space="preserve">DU supports </w:t>
      </w:r>
      <w:r>
        <w:rPr>
          <w:lang w:val="en-US"/>
        </w:rPr>
        <w:t xml:space="preserve">different versions of ASN.1: For example, what if DU </w:t>
      </w:r>
      <w:r>
        <w:rPr>
          <w:lang w:val="en-US"/>
        </w:rPr>
        <w:t xml:space="preserve">Release 16 whereas the CU is Release 15? The CU will be </w:t>
      </w:r>
      <w:r>
        <w:rPr>
          <w:lang w:val="en-US"/>
        </w:rPr>
        <w:t xml:space="preserve">still </w:t>
      </w:r>
      <w:r>
        <w:rPr>
          <w:lang w:val="en-US"/>
        </w:rPr>
        <w:t>able to decode the R</w:t>
      </w:r>
      <w:r>
        <w:rPr>
          <w:lang w:val="en-US"/>
        </w:rPr>
        <w:t>el-</w:t>
      </w:r>
      <w:r>
        <w:rPr>
          <w:lang w:val="en-US"/>
        </w:rPr>
        <w:t xml:space="preserve">16 </w:t>
      </w:r>
      <w:r w:rsidRPr="00ED3712">
        <w:rPr>
          <w:i/>
          <w:lang w:val="en-US"/>
        </w:rPr>
        <w:t>CG-Config</w:t>
      </w:r>
      <w:r>
        <w:rPr>
          <w:lang w:val="en-US"/>
        </w:rPr>
        <w:t xml:space="preserve"> because </w:t>
      </w:r>
      <w:r>
        <w:rPr>
          <w:lang w:val="en-US"/>
        </w:rPr>
        <w:t xml:space="preserve">it can skip </w:t>
      </w:r>
      <w:r>
        <w:rPr>
          <w:lang w:val="en-US"/>
        </w:rPr>
        <w:t xml:space="preserve">any extension parameter </w:t>
      </w:r>
      <w:r>
        <w:rPr>
          <w:lang w:val="en-US"/>
        </w:rPr>
        <w:t xml:space="preserve">as per normal ASN.1 rules (assuming they are </w:t>
      </w:r>
      <w:r>
        <w:rPr>
          <w:lang w:val="en-US"/>
        </w:rPr>
        <w:t>wrapped</w:t>
      </w:r>
      <w:r>
        <w:rPr>
          <w:lang w:val="en-US"/>
        </w:rPr>
        <w:t xml:space="preserve"> according t</w:t>
      </w:r>
      <w:r w:rsidR="00E13DD4">
        <w:rPr>
          <w:lang w:val="en-US"/>
        </w:rPr>
        <w:t>o</w:t>
      </w:r>
      <w:r>
        <w:rPr>
          <w:lang w:val="en-US"/>
        </w:rPr>
        <w:t xml:space="preserve"> normal extension rules).</w:t>
      </w:r>
      <w:r>
        <w:rPr>
          <w:lang w:val="en-US"/>
        </w:rPr>
        <w:t xml:space="preserve"> However, it seems near impossible to me for the CU to re-encode the CG-Config while including the R</w:t>
      </w:r>
      <w:r>
        <w:rPr>
          <w:lang w:val="en-US"/>
        </w:rPr>
        <w:t>el-</w:t>
      </w:r>
      <w:r>
        <w:rPr>
          <w:lang w:val="en-US"/>
        </w:rPr>
        <w:t xml:space="preserve">16 </w:t>
      </w:r>
      <w:r>
        <w:rPr>
          <w:lang w:val="en-US"/>
        </w:rPr>
        <w:lastRenderedPageBreak/>
        <w:t>extensions that the DU had included.</w:t>
      </w:r>
      <w:r>
        <w:rPr>
          <w:lang w:val="en-US"/>
        </w:rPr>
        <w:t xml:space="preserve"> This </w:t>
      </w:r>
      <w:r>
        <w:rPr>
          <w:lang w:val="en-US"/>
        </w:rPr>
        <w:t>breaks the assumption behind ASN.1 backwards compatibility that the recipient of an extension may skip it and ignore it: here the recipient would need to store it without decoding it (since it doesn’t know its syntax), and would then need to be able to know where to re-insert it while it is encoding the R</w:t>
      </w:r>
      <w:r>
        <w:rPr>
          <w:lang w:val="en-US"/>
        </w:rPr>
        <w:t>el-</w:t>
      </w:r>
      <w:r>
        <w:rPr>
          <w:lang w:val="en-US"/>
        </w:rPr>
        <w:t xml:space="preserve">15 </w:t>
      </w:r>
      <w:r w:rsidRPr="00ED3712">
        <w:rPr>
          <w:i/>
          <w:lang w:val="en-US"/>
        </w:rPr>
        <w:t>CG-Config</w:t>
      </w:r>
      <w:r>
        <w:rPr>
          <w:lang w:val="en-US"/>
        </w:rPr>
        <w:t xml:space="preserve">. </w:t>
      </w:r>
      <w:r>
        <w:rPr>
          <w:lang w:val="en-US"/>
        </w:rPr>
        <w:t>This creates issues and it’s not even clear the existing ASN.1 compilers</w:t>
      </w:r>
      <w:r>
        <w:rPr>
          <w:lang w:val="en-US"/>
        </w:rPr>
        <w:t xml:space="preserve"> would support this.</w:t>
      </w:r>
    </w:p>
    <w:p w14:paraId="4E79036D" w14:textId="64BD846E" w:rsidR="00ED3712" w:rsidRDefault="00ED3712" w:rsidP="00ED3712">
      <w:pPr>
        <w:rPr>
          <w:lang w:val="en-US"/>
        </w:rPr>
      </w:pPr>
      <w:r w:rsidRPr="00ED3712">
        <w:rPr>
          <w:b/>
          <w:lang w:val="en-US"/>
        </w:rPr>
        <w:t>Observation 2:</w:t>
      </w:r>
      <w:r>
        <w:rPr>
          <w:lang w:val="en-US"/>
        </w:rPr>
        <w:t xml:space="preserve"> Using RRC messages not meant only for the F1AP can cause trouble when CU and DU are not supporting the same ASN.1 version. </w:t>
      </w:r>
    </w:p>
    <w:p w14:paraId="793CDBC1" w14:textId="657FD898" w:rsidR="00ED3712" w:rsidRDefault="00ED3712" w:rsidP="00ED3712">
      <w:pPr>
        <w:rPr>
          <w:lang w:val="en-US"/>
        </w:rPr>
      </w:pPr>
      <w:r>
        <w:rPr>
          <w:lang w:val="en-US"/>
        </w:rPr>
        <w:t xml:space="preserve">Therefore, it would be far cleaner to avoid such problems by </w:t>
      </w:r>
      <w:r>
        <w:rPr>
          <w:lang w:val="en-US"/>
        </w:rPr>
        <w:t xml:space="preserve">separating CU and DU parts in </w:t>
      </w:r>
      <w:r>
        <w:rPr>
          <w:lang w:val="en-US"/>
        </w:rPr>
        <w:t xml:space="preserve">different </w:t>
      </w:r>
      <w:r>
        <w:rPr>
          <w:lang w:val="en-US"/>
        </w:rPr>
        <w:t>containers</w:t>
      </w:r>
      <w:r>
        <w:rPr>
          <w:lang w:val="en-US"/>
        </w:rPr>
        <w:t xml:space="preserve">, which would also make it clearer which parts are set by CU and which by the DU. Therefore, the DU parts could be in OCTET STRING contained in the CU message, i.e. there </w:t>
      </w:r>
      <w:r>
        <w:rPr>
          <w:lang w:val="en-US"/>
        </w:rPr>
        <w:t>would be two different inter-node messages: one containing only the DU information for the F1 message, and one containing both for the X2 message.</w:t>
      </w:r>
    </w:p>
    <w:p w14:paraId="293FE05E" w14:textId="24895D82" w:rsidR="00ED3712" w:rsidRDefault="00ED3712" w:rsidP="00CD4C7B">
      <w:pPr>
        <w:rPr>
          <w:lang w:val="en-US"/>
        </w:rPr>
      </w:pPr>
      <w:r w:rsidRPr="00ED3712">
        <w:rPr>
          <w:b/>
        </w:rPr>
        <w:t>Proposal 1:</w:t>
      </w:r>
      <w:r>
        <w:t xml:space="preserve"> NR RRC shall contain </w:t>
      </w:r>
      <w:r>
        <w:rPr>
          <w:lang w:val="en-US"/>
        </w:rPr>
        <w:t xml:space="preserve">two different inter-node messages: one containing only the DU information for the F1 message, and one containing both </w:t>
      </w:r>
      <w:r>
        <w:rPr>
          <w:lang w:val="en-US"/>
        </w:rPr>
        <w:t xml:space="preserve">CU and DU information </w:t>
      </w:r>
      <w:r>
        <w:rPr>
          <w:lang w:val="en-US"/>
        </w:rPr>
        <w:t>for the X2 message.</w:t>
      </w:r>
    </w:p>
    <w:p w14:paraId="44D50783" w14:textId="6E6AE3E8" w:rsidR="00ED3712" w:rsidRDefault="00ED3712" w:rsidP="00CD4C7B">
      <w:pPr>
        <w:rPr>
          <w:lang w:val="en-US"/>
        </w:rPr>
      </w:pPr>
      <w:r>
        <w:rPr>
          <w:lang w:val="en-US"/>
        </w:rPr>
        <w:t>For NR-NR DC, the same should be allowed also for the MCG to allow CU-DU split also there. Currently the CG-ConfigInfo doesn’t even contain the NR MCG config, only LTE config, but that should be enabled eventually.</w:t>
      </w:r>
    </w:p>
    <w:p w14:paraId="3A41279D" w14:textId="16331FD8" w:rsidR="00ED3712" w:rsidRDefault="00ED3712" w:rsidP="00CD4C7B">
      <w:pPr>
        <w:rPr>
          <w:lang w:val="en-US"/>
        </w:rPr>
      </w:pPr>
      <w:r w:rsidRPr="00ED3712">
        <w:rPr>
          <w:b/>
          <w:lang w:val="en-US"/>
        </w:rPr>
        <w:t>Proposal 2:</w:t>
      </w:r>
      <w:r>
        <w:rPr>
          <w:lang w:val="en-US"/>
        </w:rPr>
        <w:t xml:space="preserve"> Split also NR MCG configuration in </w:t>
      </w:r>
      <w:r w:rsidRPr="00ED3712">
        <w:rPr>
          <w:i/>
          <w:lang w:val="en-US"/>
        </w:rPr>
        <w:t>CG-ConfigInfo</w:t>
      </w:r>
      <w:r>
        <w:rPr>
          <w:lang w:val="en-US"/>
        </w:rPr>
        <w:t xml:space="preserve"> to CU and DU parts.</w:t>
      </w:r>
    </w:p>
    <w:p w14:paraId="7C07CC73" w14:textId="2109B29A" w:rsidR="002931E7" w:rsidRPr="006E13D1" w:rsidRDefault="002931E7" w:rsidP="002931E7">
      <w:pPr>
        <w:pStyle w:val="Heading1"/>
      </w:pPr>
      <w:r>
        <w:t>3</w:t>
      </w:r>
      <w:r w:rsidRPr="006E13D1">
        <w:tab/>
      </w:r>
      <w:r w:rsidR="007834E1">
        <w:t>SMTC configuration</w:t>
      </w:r>
      <w:r w:rsidRPr="006E13D1">
        <w:t xml:space="preserve"> </w:t>
      </w:r>
    </w:p>
    <w:p w14:paraId="3E391A53" w14:textId="7339EA66" w:rsidR="007834E1" w:rsidRDefault="007834E1" w:rsidP="002931E7">
      <w:r>
        <w:t xml:space="preserve">The UE measurements are part of high-level UE configuration, and are given to UE in </w:t>
      </w:r>
      <w:r w:rsidRPr="007834E1">
        <w:rPr>
          <w:i/>
        </w:rPr>
        <w:t>RRCReconfiguration</w:t>
      </w:r>
      <w:r>
        <w:t xml:space="preserve">. However, the measurements that UE do on NR frequencies, i.e. the SMTC window, is decided by the DU since the PHY configuration determines when SSB or CSI-RS are sent. In F1AP, this is not yet clear in current </w:t>
      </w:r>
      <w:hyperlink r:id="rId14" w:history="1">
        <w:r w:rsidRPr="00E13DD4">
          <w:rPr>
            <w:rStyle w:val="Hyperlink"/>
          </w:rPr>
          <w:t>TS38.473</w:t>
        </w:r>
      </w:hyperlink>
      <w:r>
        <w:t>, but is still under discussion in RAN3 and is expected to be added to subclause 9.3.1.10 (Served Cell Information) that is indicated from DU to CU. This would also speak in favor of CU making the configuration, but is something that could be clarified.</w:t>
      </w:r>
      <w:bookmarkStart w:id="4" w:name="_GoBack"/>
      <w:bookmarkEnd w:id="4"/>
    </w:p>
    <w:p w14:paraId="1C59DB4B" w14:textId="6D1D7A2F" w:rsidR="007834E1" w:rsidRDefault="007834E1" w:rsidP="002931E7">
      <w:r w:rsidRPr="007834E1">
        <w:rPr>
          <w:b/>
        </w:rPr>
        <w:t>Observation 3:</w:t>
      </w:r>
      <w:r>
        <w:t xml:space="preserve"> It’s not clear whether it’s CU or DU who shall ASN.1 - encode the UE NR measurement configuration.</w:t>
      </w:r>
    </w:p>
    <w:p w14:paraId="20084FF4" w14:textId="5FA2D6C7" w:rsidR="007834E1" w:rsidRDefault="007834E1" w:rsidP="007834E1">
      <w:r>
        <w:t>The reason why this is relevant is that the same as for previous section: In case the CU decides and DU supports later release than CU, CU can only take into account the measurement information it understands but there is no encoding issue. But if it’s the DU that creates the measurement configuration that CU must then encode, then the same problem occurs, which would require using containers to separate CU and DU parts.</w:t>
      </w:r>
    </w:p>
    <w:p w14:paraId="4B75A10B" w14:textId="0BF1024B" w:rsidR="007834E1" w:rsidRPr="007834E1" w:rsidRDefault="007834E1" w:rsidP="002931E7">
      <w:pPr>
        <w:rPr>
          <w:lang w:eastAsia="en-GB"/>
        </w:rPr>
      </w:pPr>
      <w:r w:rsidRPr="007834E1">
        <w:rPr>
          <w:b/>
        </w:rPr>
        <w:t>Proposal 3:</w:t>
      </w:r>
      <w:r>
        <w:t xml:space="preserve"> RAN2 to discuss whether we need to separate CU and DU parts of measurement configuration in ASN.1</w:t>
      </w:r>
    </w:p>
    <w:p w14:paraId="43A12B72" w14:textId="4709B306" w:rsidR="00CD4C7B" w:rsidRDefault="007834E1" w:rsidP="00CD4C7B">
      <w:pPr>
        <w:pStyle w:val="Heading1"/>
      </w:pPr>
      <w:r>
        <w:t>4</w:t>
      </w:r>
      <w:r w:rsidR="00CD4C7B" w:rsidRPr="006E13D1">
        <w:tab/>
      </w:r>
      <w:r w:rsidR="00ED3712">
        <w:t>Conclusions</w:t>
      </w:r>
    </w:p>
    <w:p w14:paraId="5A25C2BF" w14:textId="1CECD296" w:rsidR="007834E1" w:rsidRPr="007834E1" w:rsidRDefault="007834E1" w:rsidP="007834E1">
      <w:r>
        <w:t>We have discussed the F1AP impacts to NR RRC and observed the following:</w:t>
      </w:r>
    </w:p>
    <w:p w14:paraId="3D29DA09" w14:textId="77777777" w:rsidR="00ED3712" w:rsidRDefault="00ED3712" w:rsidP="00ED3712">
      <w:pPr>
        <w:rPr>
          <w:lang w:val="en-US" w:eastAsia="fi-FI"/>
        </w:rPr>
      </w:pPr>
      <w:r w:rsidRPr="00ED3712">
        <w:rPr>
          <w:b/>
          <w:lang w:val="en-US"/>
        </w:rPr>
        <w:t>Observation 1:</w:t>
      </w:r>
      <w:r>
        <w:rPr>
          <w:lang w:val="en-US"/>
        </w:rPr>
        <w:t xml:space="preserve"> The F1AP interface uses both INM RRC messages and UE RRC IEs. </w:t>
      </w:r>
    </w:p>
    <w:p w14:paraId="099E52FB" w14:textId="77777777" w:rsidR="00ED3712" w:rsidRDefault="00ED3712" w:rsidP="00ED3712">
      <w:pPr>
        <w:rPr>
          <w:lang w:val="en-US"/>
        </w:rPr>
      </w:pPr>
      <w:r w:rsidRPr="00ED3712">
        <w:rPr>
          <w:b/>
          <w:lang w:val="en-US"/>
        </w:rPr>
        <w:t>Observation 2:</w:t>
      </w:r>
      <w:r>
        <w:rPr>
          <w:lang w:val="en-US"/>
        </w:rPr>
        <w:t xml:space="preserve"> Using RRC messages not meant only for the F1AP can cause trouble when CU and DU are not supporting the same ASN.1 version. </w:t>
      </w:r>
    </w:p>
    <w:p w14:paraId="32A15E64" w14:textId="73AEFDAA" w:rsidR="007834E1" w:rsidRDefault="007834E1" w:rsidP="007834E1">
      <w:r w:rsidRPr="007834E1">
        <w:rPr>
          <w:b/>
        </w:rPr>
        <w:t>Observation 3:</w:t>
      </w:r>
      <w:r>
        <w:t xml:space="preserve"> It’s not clear whether it’s CU or DU who shall ASN.1-encode the UE NR measurement configuration.</w:t>
      </w:r>
    </w:p>
    <w:p w14:paraId="1B464CB6" w14:textId="3F412556" w:rsidR="007834E1" w:rsidRDefault="007834E1" w:rsidP="007834E1">
      <w:r>
        <w:t>Based on these, we have proposed the following:</w:t>
      </w:r>
    </w:p>
    <w:p w14:paraId="19E21425" w14:textId="77777777" w:rsidR="00ED3712" w:rsidRDefault="00ED3712" w:rsidP="00ED3712">
      <w:pPr>
        <w:rPr>
          <w:lang w:val="en-US"/>
        </w:rPr>
      </w:pPr>
      <w:r w:rsidRPr="00ED3712">
        <w:rPr>
          <w:b/>
        </w:rPr>
        <w:t>Proposal 1:</w:t>
      </w:r>
      <w:r>
        <w:t xml:space="preserve"> NR RRC shall contain </w:t>
      </w:r>
      <w:r>
        <w:rPr>
          <w:lang w:val="en-US"/>
        </w:rPr>
        <w:t>two different inter-node messages: one containing only the DU information for the F1 message, and one containing both CU and DU information for the X2 message.</w:t>
      </w:r>
    </w:p>
    <w:p w14:paraId="112B8252" w14:textId="77777777" w:rsidR="00ED3712" w:rsidRPr="00ED3712" w:rsidRDefault="00ED3712" w:rsidP="00ED3712">
      <w:pPr>
        <w:rPr>
          <w:lang w:val="en-US"/>
        </w:rPr>
      </w:pPr>
      <w:r w:rsidRPr="00ED3712">
        <w:rPr>
          <w:b/>
          <w:lang w:val="en-US"/>
        </w:rPr>
        <w:t>Proposal 2:</w:t>
      </w:r>
      <w:r>
        <w:rPr>
          <w:lang w:val="en-US"/>
        </w:rPr>
        <w:t xml:space="preserve"> Split also NR MCG configuration in </w:t>
      </w:r>
      <w:r w:rsidRPr="00ED3712">
        <w:rPr>
          <w:i/>
          <w:lang w:val="en-US"/>
        </w:rPr>
        <w:t>CG-ConfigInfo</w:t>
      </w:r>
      <w:r>
        <w:rPr>
          <w:lang w:val="en-US"/>
        </w:rPr>
        <w:t xml:space="preserve"> to CU and DU parts.</w:t>
      </w:r>
    </w:p>
    <w:p w14:paraId="0CA3504C" w14:textId="77777777" w:rsidR="007834E1" w:rsidRPr="007834E1" w:rsidRDefault="007834E1" w:rsidP="007834E1">
      <w:pPr>
        <w:rPr>
          <w:lang w:eastAsia="en-GB"/>
        </w:rPr>
      </w:pPr>
      <w:r w:rsidRPr="007834E1">
        <w:rPr>
          <w:b/>
        </w:rPr>
        <w:t>Proposal 3:</w:t>
      </w:r>
      <w:r>
        <w:t xml:space="preserve"> RAN2 to discuss whether we need to separate CU and DU parts of measurement configuration in ASN.1</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57859" w14:textId="77777777" w:rsidR="008A0ED2" w:rsidRDefault="008A0ED2">
      <w:r>
        <w:separator/>
      </w:r>
    </w:p>
  </w:endnote>
  <w:endnote w:type="continuationSeparator" w:id="0">
    <w:p w14:paraId="6DCC3F3C" w14:textId="77777777" w:rsidR="008A0ED2" w:rsidRDefault="008A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2E293" w14:textId="77777777" w:rsidR="008A0ED2" w:rsidRDefault="008A0ED2">
      <w:r>
        <w:separator/>
      </w:r>
    </w:p>
  </w:footnote>
  <w:footnote w:type="continuationSeparator" w:id="0">
    <w:p w14:paraId="78248859" w14:textId="77777777" w:rsidR="008A0ED2" w:rsidRDefault="008A0E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40CD"/>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16782"/>
    <w:rsid w:val="0022606D"/>
    <w:rsid w:val="002747EC"/>
    <w:rsid w:val="002855BF"/>
    <w:rsid w:val="002931E7"/>
    <w:rsid w:val="002F0D22"/>
    <w:rsid w:val="003172DC"/>
    <w:rsid w:val="00325AE3"/>
    <w:rsid w:val="00326069"/>
    <w:rsid w:val="0035462D"/>
    <w:rsid w:val="00364B41"/>
    <w:rsid w:val="003A2AF0"/>
    <w:rsid w:val="003B40AD"/>
    <w:rsid w:val="003C4E37"/>
    <w:rsid w:val="003E16BE"/>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34E1"/>
    <w:rsid w:val="0078727C"/>
    <w:rsid w:val="0079049D"/>
    <w:rsid w:val="00793DC5"/>
    <w:rsid w:val="007B18D8"/>
    <w:rsid w:val="007C095F"/>
    <w:rsid w:val="007D7E07"/>
    <w:rsid w:val="008028A4"/>
    <w:rsid w:val="00813245"/>
    <w:rsid w:val="008768CA"/>
    <w:rsid w:val="00877EF9"/>
    <w:rsid w:val="00880559"/>
    <w:rsid w:val="008A0ED2"/>
    <w:rsid w:val="008B5306"/>
    <w:rsid w:val="0090271F"/>
    <w:rsid w:val="00902DB9"/>
    <w:rsid w:val="0090466A"/>
    <w:rsid w:val="00936071"/>
    <w:rsid w:val="00940212"/>
    <w:rsid w:val="00942EC2"/>
    <w:rsid w:val="00961B32"/>
    <w:rsid w:val="00970DB3"/>
    <w:rsid w:val="00974BB0"/>
    <w:rsid w:val="009A0AF3"/>
    <w:rsid w:val="009B07CD"/>
    <w:rsid w:val="009B4C5F"/>
    <w:rsid w:val="009C19E9"/>
    <w:rsid w:val="009D74A6"/>
    <w:rsid w:val="00A10F02"/>
    <w:rsid w:val="00A204CA"/>
    <w:rsid w:val="00A53724"/>
    <w:rsid w:val="00A82346"/>
    <w:rsid w:val="00A9671C"/>
    <w:rsid w:val="00AA1553"/>
    <w:rsid w:val="00B05962"/>
    <w:rsid w:val="00B15449"/>
    <w:rsid w:val="00B27303"/>
    <w:rsid w:val="00B47FD1"/>
    <w:rsid w:val="00B516BB"/>
    <w:rsid w:val="00BC3555"/>
    <w:rsid w:val="00BE5CC5"/>
    <w:rsid w:val="00C12B51"/>
    <w:rsid w:val="00C24650"/>
    <w:rsid w:val="00C33079"/>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13DD4"/>
    <w:rsid w:val="00E62835"/>
    <w:rsid w:val="00E77645"/>
    <w:rsid w:val="00E83697"/>
    <w:rsid w:val="00EC4A25"/>
    <w:rsid w:val="00ED3712"/>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B0F7E67B-F6D2-449D-AD89-AEA3B64C6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7834E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640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38473.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DynaReport/38473.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DynaReport/38401.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DynaReport/3847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Props1.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2.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3.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2</Pages>
  <Words>699</Words>
  <Characters>5665</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Nokia, Nokia Shanghai Bell</cp:lastModifiedBy>
  <cp:revision>5</cp:revision>
  <dcterms:created xsi:type="dcterms:W3CDTF">2018-02-27T13:19:00Z</dcterms:created>
  <dcterms:modified xsi:type="dcterms:W3CDTF">2018-02-27T13:49:00Z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